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6157B7" w:rsidP="00E0602B">
      <w:pPr>
        <w:widowControl w:val="0"/>
        <w:spacing w:after="0" w:line="240" w:lineRule="auto"/>
        <w:jc w:val="center"/>
        <w:rPr>
          <w:rFonts w:ascii="Arial" w:hAnsi="Arial" w:cs="Arial"/>
          <w:snapToGrid w:val="0"/>
          <w:spacing w:val="60"/>
          <w:kern w:val="40"/>
          <w:sz w:val="40"/>
          <w:szCs w:val="40"/>
          <w:lang w:eastAsia="cs-CZ"/>
        </w:rPr>
      </w:pPr>
      <w:r>
        <w:rPr>
          <w:noProof/>
          <w:lang w:eastAsia="cs-CZ"/>
        </w:rPr>
        <w:drawing>
          <wp:anchor distT="0" distB="0" distL="114300" distR="114300" simplePos="0" relativeHeight="251659264" behindDoc="1" locked="0" layoutInCell="1" allowOverlap="1" wp14:anchorId="3D5E8DB6" wp14:editId="6F6F5668">
            <wp:simplePos x="0" y="0"/>
            <wp:positionH relativeFrom="column">
              <wp:posOffset>2599690</wp:posOffset>
            </wp:positionH>
            <wp:positionV relativeFrom="paragraph">
              <wp:posOffset>-1076313</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8">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B3FA7"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C133D">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5A5243" w:rsidRPr="00F011CB" w:rsidRDefault="00DB3FA7" w:rsidP="003143D5">
      <w:pPr>
        <w:pStyle w:val="Zkladntext"/>
        <w:numPr>
          <w:ilvl w:val="1"/>
          <w:numId w:val="11"/>
        </w:numPr>
        <w:tabs>
          <w:tab w:val="left" w:pos="0"/>
        </w:tabs>
        <w:spacing w:before="120"/>
        <w:ind w:left="0" w:firstLine="0"/>
        <w:jc w:val="both"/>
        <w:rPr>
          <w:rFonts w:ascii="Arial" w:eastAsia="Calibri" w:hAnsi="Arial" w:cs="Arial"/>
          <w:b/>
          <w:bCs/>
          <w:sz w:val="20"/>
          <w:szCs w:val="20"/>
        </w:rPr>
      </w:pPr>
      <w:r w:rsidRPr="005A5243">
        <w:rPr>
          <w:rFonts w:ascii="Arial" w:hAnsi="Arial" w:cs="Arial"/>
          <w:sz w:val="20"/>
          <w:szCs w:val="20"/>
        </w:rPr>
        <w:t>Podkladem pro uzavření Smlouvy je nabídka Zhotovitele</w:t>
      </w:r>
      <w:r w:rsidR="005A5243" w:rsidRPr="005A5243">
        <w:rPr>
          <w:rFonts w:ascii="Arial" w:hAnsi="Arial" w:cs="Arial"/>
          <w:sz w:val="20"/>
          <w:szCs w:val="20"/>
        </w:rPr>
        <w:t xml:space="preserve"> předložená na veřejnou zakázku</w:t>
      </w:r>
      <w:r w:rsidR="00C80317" w:rsidRPr="005A5243">
        <w:rPr>
          <w:rFonts w:ascii="Arial" w:hAnsi="Arial" w:cs="Arial"/>
          <w:sz w:val="20"/>
          <w:szCs w:val="20"/>
        </w:rPr>
        <w:t xml:space="preserve"> </w:t>
      </w:r>
      <w:r w:rsidRPr="005A5243">
        <w:rPr>
          <w:rFonts w:ascii="Arial" w:hAnsi="Arial" w:cs="Arial"/>
          <w:sz w:val="20"/>
          <w:szCs w:val="20"/>
        </w:rPr>
        <w:t>s názvem „</w:t>
      </w:r>
      <w:r w:rsidR="003143D5" w:rsidRPr="003143D5">
        <w:rPr>
          <w:rFonts w:ascii="Arial" w:hAnsi="Arial" w:cs="Arial"/>
          <w:b/>
          <w:sz w:val="20"/>
          <w:szCs w:val="20"/>
        </w:rPr>
        <w:t>II/112 Košetice - Pelhřimov</w:t>
      </w:r>
      <w:r w:rsidRPr="005A5243">
        <w:rPr>
          <w:rFonts w:ascii="Arial" w:hAnsi="Arial" w:cs="Arial"/>
          <w:sz w:val="20"/>
          <w:szCs w:val="20"/>
        </w:rPr>
        <w:t xml:space="preserve">“ zadávanou </w:t>
      </w:r>
      <w:r w:rsidR="005A5243" w:rsidRPr="005A5243">
        <w:rPr>
          <w:rFonts w:ascii="Arial" w:hAnsi="Arial" w:cs="Arial"/>
          <w:sz w:val="20"/>
          <w:szCs w:val="20"/>
        </w:rPr>
        <w:t xml:space="preserve">ve zjednodušeném podlimitním řízení dle zákona </w:t>
      </w:r>
      <w:r w:rsidRPr="005A5243">
        <w:rPr>
          <w:rFonts w:ascii="Arial" w:hAnsi="Arial" w:cs="Arial"/>
          <w:sz w:val="20"/>
          <w:szCs w:val="20"/>
        </w:rPr>
        <w:t xml:space="preserve"> 134/2016 Sb., o zadávání veřejných zakázek, v platném znění (dále jen „ZZVZ“) </w:t>
      </w:r>
      <w:r w:rsidRPr="005A5243">
        <w:rPr>
          <w:rFonts w:ascii="Arial" w:hAnsi="Arial" w:cs="Arial"/>
          <w:sz w:val="20"/>
          <w:szCs w:val="20"/>
          <w:lang w:eastAsia="cs-CZ"/>
        </w:rPr>
        <w:t xml:space="preserve">a dále </w:t>
      </w:r>
      <w:r w:rsidRPr="005A5243">
        <w:rPr>
          <w:rFonts w:ascii="Arial" w:hAnsi="Arial" w:cs="Arial"/>
          <w:b/>
          <w:sz w:val="20"/>
          <w:szCs w:val="20"/>
        </w:rPr>
        <w:t xml:space="preserve">Obchodní podmínky zadavatele pro veřejné zakázky na stavební práce vydané </w:t>
      </w:r>
      <w:r w:rsidR="005A5243" w:rsidRPr="00F011CB">
        <w:rPr>
          <w:rFonts w:ascii="Arial" w:hAnsi="Arial" w:cs="Arial"/>
          <w:b/>
          <w:sz w:val="20"/>
          <w:szCs w:val="20"/>
        </w:rPr>
        <w:t>dle § 37 odst. 1 písm. c) ZZVZ</w:t>
      </w:r>
      <w:r w:rsidR="005A5243" w:rsidRPr="00F011CB">
        <w:rPr>
          <w:rFonts w:ascii="Arial" w:hAnsi="Arial" w:cs="Arial"/>
          <w:sz w:val="20"/>
          <w:szCs w:val="20"/>
        </w:rPr>
        <w:t>,</w:t>
      </w:r>
      <w:r w:rsidR="005A5243" w:rsidRPr="00F011CB">
        <w:rPr>
          <w:rFonts w:ascii="Arial" w:hAnsi="Arial" w:cs="Arial"/>
          <w:b/>
          <w:sz w:val="20"/>
          <w:szCs w:val="20"/>
        </w:rPr>
        <w:t xml:space="preserve"> vydané dle § 1751 a násl. OZ </w:t>
      </w:r>
      <w:r w:rsidR="005A5243" w:rsidRPr="00F011CB">
        <w:rPr>
          <w:rFonts w:ascii="Arial" w:hAnsi="Arial" w:cs="Arial"/>
          <w:sz w:val="20"/>
          <w:szCs w:val="20"/>
        </w:rPr>
        <w:t>(dále také jen „OP“)</w:t>
      </w:r>
      <w:r w:rsidR="005A5243" w:rsidRPr="00F011CB">
        <w:rPr>
          <w:rFonts w:ascii="Arial" w:hAnsi="Arial" w:cs="Arial"/>
          <w:b/>
          <w:sz w:val="20"/>
          <w:szCs w:val="20"/>
        </w:rPr>
        <w:t>.</w:t>
      </w:r>
      <w:r w:rsidR="005A5243" w:rsidRPr="00F011CB">
        <w:rPr>
          <w:rFonts w:ascii="Arial" w:hAnsi="Arial" w:cs="Arial"/>
          <w:sz w:val="20"/>
          <w:szCs w:val="20"/>
          <w:lang w:eastAsia="cs-CZ"/>
        </w:rPr>
        <w:t xml:space="preserve"> </w:t>
      </w:r>
    </w:p>
    <w:p w:rsidR="009014AB" w:rsidRPr="005A5243" w:rsidRDefault="009014AB" w:rsidP="005A5243">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412433" w:rsidRPr="00412433" w:rsidRDefault="0041243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A26BE">
        <w:rPr>
          <w:rFonts w:ascii="Arial" w:hAnsi="Arial" w:cs="Arial"/>
          <w:bCs/>
          <w:sz w:val="20"/>
          <w:szCs w:val="20"/>
          <w:lang w:eastAsia="cs-CZ"/>
        </w:rPr>
        <w:t xml:space="preserve">Předmětem této Smlouvy </w:t>
      </w:r>
      <w:r w:rsidRPr="00D74217">
        <w:rPr>
          <w:rFonts w:ascii="Arial" w:hAnsi="Arial" w:cs="Arial"/>
          <w:sz w:val="20"/>
          <w:szCs w:val="20"/>
        </w:rPr>
        <w:t>je oprava silnice II/</w:t>
      </w:r>
      <w:r>
        <w:rPr>
          <w:rFonts w:ascii="Arial" w:hAnsi="Arial" w:cs="Arial"/>
          <w:sz w:val="20"/>
          <w:szCs w:val="20"/>
        </w:rPr>
        <w:t>112 mezi obcemi Košetice a Pelhřimov</w:t>
      </w:r>
      <w:r w:rsidRPr="00D74217">
        <w:rPr>
          <w:rFonts w:ascii="Arial" w:hAnsi="Arial" w:cs="Arial"/>
          <w:sz w:val="20"/>
          <w:szCs w:val="20"/>
        </w:rPr>
        <w:t xml:space="preserve">, okres </w:t>
      </w:r>
      <w:r>
        <w:rPr>
          <w:rFonts w:ascii="Arial" w:hAnsi="Arial" w:cs="Arial"/>
          <w:sz w:val="20"/>
          <w:szCs w:val="20"/>
        </w:rPr>
        <w:t xml:space="preserve">Pelhřimov, Kraj Vysočina. </w:t>
      </w:r>
      <w:r w:rsidRPr="009B139E">
        <w:rPr>
          <w:rFonts w:ascii="Arial" w:hAnsi="Arial" w:cs="Arial"/>
          <w:sz w:val="20"/>
          <w:szCs w:val="20"/>
        </w:rPr>
        <w:t xml:space="preserve">Cílem této stavby je </w:t>
      </w:r>
      <w:r w:rsidRPr="00462BAA">
        <w:rPr>
          <w:rFonts w:ascii="Arial" w:hAnsi="Arial" w:cs="Arial"/>
          <w:sz w:val="20"/>
          <w:szCs w:val="20"/>
        </w:rPr>
        <w:t>prodloužení životnosti vozovky za použití technologie pokládky dvouvrstvého mikrokoberce</w:t>
      </w:r>
      <w:r>
        <w:rPr>
          <w:rFonts w:ascii="Arial" w:hAnsi="Arial" w:cs="Arial"/>
          <w:sz w:val="20"/>
          <w:szCs w:val="20"/>
        </w:rPr>
        <w:t xml:space="preserve">. Průměrná šířka vozovky je cca 7,5 m. </w:t>
      </w:r>
      <w:r w:rsidRPr="00462BAA">
        <w:rPr>
          <w:rFonts w:ascii="Arial" w:hAnsi="Arial" w:cs="Arial"/>
          <w:sz w:val="20"/>
          <w:szCs w:val="20"/>
        </w:rPr>
        <w:t>Stavba je rozdělena na dva dílčí úseky. Začátek úseku č.</w:t>
      </w:r>
      <w:r>
        <w:rPr>
          <w:rFonts w:ascii="Arial" w:hAnsi="Arial" w:cs="Arial"/>
          <w:sz w:val="20"/>
          <w:szCs w:val="20"/>
        </w:rPr>
        <w:t xml:space="preserve"> </w:t>
      </w:r>
      <w:r w:rsidRPr="00462BAA">
        <w:rPr>
          <w:rFonts w:ascii="Arial" w:hAnsi="Arial" w:cs="Arial"/>
          <w:sz w:val="20"/>
          <w:szCs w:val="20"/>
        </w:rPr>
        <w:t xml:space="preserve">1 se nachází na konci obce Košetice v km 45,447 a konec úseku se nachází na pracovní spáře u </w:t>
      </w:r>
      <w:r>
        <w:rPr>
          <w:rFonts w:ascii="Arial" w:hAnsi="Arial" w:cs="Arial"/>
          <w:sz w:val="20"/>
          <w:szCs w:val="20"/>
        </w:rPr>
        <w:t xml:space="preserve">parkoviště v lese v km 47,451. </w:t>
      </w:r>
      <w:r w:rsidRPr="00462BAA">
        <w:rPr>
          <w:rFonts w:ascii="Arial" w:hAnsi="Arial" w:cs="Arial"/>
          <w:sz w:val="20"/>
          <w:szCs w:val="20"/>
        </w:rPr>
        <w:t>Začátek 2. úseku se nachází na pracovní spáře u odbočky s MK na Hodějovice v km 57,950 a konec úseku se nachází u kříž. s nájezdem na I/19 v km 61,330</w:t>
      </w:r>
      <w:r w:rsidRPr="00816A6C">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064CF4" w:rsidRPr="00CD4B80"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rsidR="00064CF4" w:rsidRPr="00756F75"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Pr>
          <w:rFonts w:ascii="Arial" w:hAnsi="Arial" w:cs="Arial"/>
          <w:b/>
          <w:sz w:val="20"/>
          <w:szCs w:val="20"/>
          <w:lang w:eastAsia="cs-CZ"/>
        </w:rPr>
        <w:t>květen</w:t>
      </w:r>
      <w:r w:rsidRPr="00417C74">
        <w:rPr>
          <w:rFonts w:ascii="Arial" w:hAnsi="Arial" w:cs="Arial"/>
          <w:b/>
          <w:sz w:val="20"/>
          <w:szCs w:val="20"/>
          <w:lang w:eastAsia="cs-CZ"/>
        </w:rPr>
        <w:t xml:space="preserve"> 202</w:t>
      </w:r>
      <w:r>
        <w:rPr>
          <w:rFonts w:ascii="Arial" w:hAnsi="Arial" w:cs="Arial"/>
          <w:b/>
          <w:sz w:val="20"/>
          <w:szCs w:val="20"/>
          <w:lang w:eastAsia="cs-CZ"/>
        </w:rPr>
        <w:t>5,</w:t>
      </w:r>
    </w:p>
    <w:p w:rsidR="00064CF4"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sidR="00613421">
        <w:rPr>
          <w:rFonts w:ascii="Arial" w:hAnsi="Arial" w:cs="Arial"/>
          <w:b/>
          <w:sz w:val="20"/>
          <w:szCs w:val="20"/>
          <w:lang w:eastAsia="cs-CZ"/>
        </w:rPr>
        <w:t>1 měsíce</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p>
    <w:p w:rsidR="00064CF4" w:rsidRPr="00391CE9"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t xml:space="preserve">dokončení díla vč. předání kompletní dokladové části Objednateli: </w:t>
      </w:r>
      <w:r w:rsidRPr="00391CE9">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c).</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4350D7" w:rsidRPr="00E0028D" w:rsidRDefault="004350D7" w:rsidP="00E0028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603303" w:rsidRPr="00F011CB"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00D46230" w:rsidRPr="00D46230">
        <w:rPr>
          <w:rFonts w:ascii="Arial" w:hAnsi="Arial" w:cs="Arial"/>
          <w:sz w:val="20"/>
          <w:szCs w:val="20"/>
        </w:rPr>
        <w:t xml:space="preserve">ilnice </w:t>
      </w:r>
      <w:r w:rsidR="00B75718" w:rsidRPr="00B75718">
        <w:rPr>
          <w:rFonts w:ascii="Arial" w:hAnsi="Arial" w:cs="Arial"/>
          <w:sz w:val="20"/>
          <w:szCs w:val="20"/>
        </w:rPr>
        <w:t>II/</w:t>
      </w:r>
      <w:r w:rsidR="000E75D5">
        <w:rPr>
          <w:rFonts w:ascii="Arial" w:hAnsi="Arial" w:cs="Arial"/>
          <w:sz w:val="20"/>
          <w:szCs w:val="20"/>
        </w:rPr>
        <w:t>112</w:t>
      </w:r>
      <w:r w:rsidR="00EB2649">
        <w:rPr>
          <w:rFonts w:ascii="Arial" w:hAnsi="Arial" w:cs="Arial"/>
          <w:sz w:val="20"/>
          <w:szCs w:val="20"/>
        </w:rPr>
        <w:t xml:space="preserve"> mezi obc</w:t>
      </w:r>
      <w:r w:rsidR="000E75D5">
        <w:rPr>
          <w:rFonts w:ascii="Arial" w:hAnsi="Arial" w:cs="Arial"/>
          <w:sz w:val="20"/>
          <w:szCs w:val="20"/>
        </w:rPr>
        <w:t>emi Košetice a Pelhřimov</w:t>
      </w:r>
      <w:r w:rsidR="00D46230">
        <w:rPr>
          <w:rFonts w:ascii="Arial" w:hAnsi="Arial" w:cs="Arial"/>
          <w:sz w:val="20"/>
          <w:szCs w:val="20"/>
        </w:rPr>
        <w:t xml:space="preserve">, okres </w:t>
      </w:r>
      <w:r w:rsidR="000E75D5">
        <w:rPr>
          <w:rFonts w:ascii="Arial" w:hAnsi="Arial" w:cs="Arial"/>
          <w:sz w:val="20"/>
          <w:szCs w:val="20"/>
        </w:rPr>
        <w:t>Pelhřimov</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9C387D" w:rsidRPr="00F011CB" w:rsidRDefault="009C387D" w:rsidP="009C387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rsidR="00D81616" w:rsidRPr="00E30D37"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752BB0" w:rsidRDefault="00752BB0"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lastRenderedPageBreak/>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w:t>
      </w:r>
      <w:r w:rsidRPr="00DB3FA7">
        <w:rPr>
          <w:rFonts w:ascii="Arial" w:hAnsi="Arial" w:cs="Arial"/>
          <w:color w:val="000000"/>
          <w:sz w:val="20"/>
          <w:szCs w:val="20"/>
        </w:rPr>
        <w:lastRenderedPageBreak/>
        <w:t>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Default="00DB3FA7" w:rsidP="00752BB0">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752BB0" w:rsidRPr="00752BB0" w:rsidRDefault="00752BB0" w:rsidP="00752BB0">
      <w:pPr>
        <w:widowControl w:val="0"/>
        <w:spacing w:before="120" w:after="120" w:line="240" w:lineRule="auto"/>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603303" w:rsidRDefault="00603303" w:rsidP="00752BB0">
      <w:pPr>
        <w:widowControl w:val="0"/>
        <w:spacing w:before="120" w:after="120" w:line="240" w:lineRule="auto"/>
        <w:jc w:val="right"/>
        <w:rPr>
          <w:rFonts w:ascii="Arial" w:hAnsi="Arial" w:cs="Arial"/>
          <w:b/>
          <w:sz w:val="20"/>
          <w:szCs w:val="20"/>
        </w:rPr>
      </w:pPr>
    </w:p>
    <w:p w:rsidR="00603303" w:rsidRDefault="00603303">
      <w:pPr>
        <w:rPr>
          <w:rFonts w:ascii="Arial" w:hAnsi="Arial" w:cs="Arial"/>
          <w:b/>
          <w:sz w:val="20"/>
          <w:szCs w:val="20"/>
        </w:rPr>
      </w:pPr>
      <w:r>
        <w:rPr>
          <w:rFonts w:ascii="Arial" w:hAnsi="Arial" w:cs="Arial"/>
          <w:b/>
          <w:sz w:val="20"/>
          <w:szCs w:val="20"/>
        </w:rPr>
        <w:br w:type="page"/>
      </w:r>
    </w:p>
    <w:p w:rsidR="00752BB0" w:rsidRPr="00DB3FA7" w:rsidRDefault="00752BB0" w:rsidP="00752BB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791A63" w:rsidRDefault="00752BB0" w:rsidP="00752BB0">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DB3FA7" w:rsidRDefault="00752BB0" w:rsidP="00752BB0">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752BB0" w:rsidRPr="00DB3FA7" w:rsidRDefault="00752BB0" w:rsidP="00752BB0">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752BB0" w:rsidRPr="00DB3FA7" w:rsidRDefault="00752BB0" w:rsidP="00752BB0">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752BB0" w:rsidRPr="00DB3FA7" w:rsidRDefault="00752BB0" w:rsidP="00752BB0">
      <w:pPr>
        <w:widowControl w:val="0"/>
        <w:spacing w:after="0" w:line="240" w:lineRule="auto"/>
        <w:rPr>
          <w:rFonts w:ascii="Arial" w:eastAsia="Batang" w:hAnsi="Arial" w:cs="Arial"/>
          <w:b/>
          <w:sz w:val="20"/>
          <w:szCs w:val="20"/>
        </w:rPr>
      </w:pPr>
    </w:p>
    <w:p w:rsidR="00752BB0" w:rsidRPr="00DB3FA7" w:rsidRDefault="00752BB0" w:rsidP="00752BB0">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752BB0" w:rsidRDefault="00752BB0" w:rsidP="00752BB0">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Default="00752BB0" w:rsidP="00752BB0">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752BB0" w:rsidRPr="002B2AD8" w:rsidRDefault="00752BB0" w:rsidP="00752BB0">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752BB0" w:rsidRPr="00DB3FA7" w:rsidRDefault="00752BB0" w:rsidP="00752BB0">
      <w:pPr>
        <w:widowControl w:val="0"/>
        <w:spacing w:after="0" w:line="240" w:lineRule="auto"/>
        <w:rPr>
          <w:rFonts w:ascii="Arial" w:hAnsi="Arial" w:cs="Arial"/>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pBdr>
          <w:bottom w:val="single" w:sz="4" w:space="1" w:color="auto"/>
        </w:pBdr>
        <w:spacing w:after="0" w:line="240" w:lineRule="auto"/>
        <w:rPr>
          <w:rFonts w:ascii="Arial" w:eastAsia="Batang" w:hAnsi="Arial" w:cs="Arial"/>
          <w:sz w:val="20"/>
          <w:szCs w:val="20"/>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A870A1" w:rsidRDefault="00752BB0" w:rsidP="00752BB0">
      <w:pPr>
        <w:widowControl w:val="0"/>
        <w:spacing w:after="0" w:line="240" w:lineRule="auto"/>
        <w:rPr>
          <w:rFonts w:ascii="Arial" w:hAnsi="Arial" w:cs="Arial"/>
          <w:b/>
          <w:sz w:val="20"/>
          <w:szCs w:val="20"/>
          <w:lang w:eastAsia="cs-CZ"/>
        </w:rPr>
      </w:pPr>
    </w:p>
    <w:p w:rsidR="00752BB0" w:rsidRPr="00A870A1" w:rsidRDefault="00752BB0" w:rsidP="00752BB0">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752BB0" w:rsidRPr="00A870A1" w:rsidRDefault="00752BB0" w:rsidP="00752BB0">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752BB0" w:rsidRPr="00A870A1" w:rsidRDefault="00752BB0" w:rsidP="00752BB0">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0" w:line="240" w:lineRule="auto"/>
        <w:rPr>
          <w:rFonts w:ascii="Arial" w:hAnsi="Arial" w:cs="Arial"/>
          <w:b/>
          <w:sz w:val="20"/>
          <w:szCs w:val="20"/>
        </w:rPr>
      </w:pPr>
    </w:p>
    <w:p w:rsidR="00752BB0" w:rsidRPr="00A870A1" w:rsidRDefault="00752BB0" w:rsidP="00752BB0">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752BB0" w:rsidRDefault="00752BB0" w:rsidP="00752BB0">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rsidR="00752BB0" w:rsidRPr="00A870A1" w:rsidRDefault="00752BB0" w:rsidP="00752BB0">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120" w:line="240" w:lineRule="auto"/>
        <w:rPr>
          <w:rFonts w:ascii="Arial" w:hAnsi="Arial" w:cs="Arial"/>
          <w:b/>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Pr="00A870A1" w:rsidRDefault="00752BB0" w:rsidP="00752BB0">
      <w:pPr>
        <w:widowControl w:val="0"/>
        <w:spacing w:after="120" w:line="240" w:lineRule="auto"/>
        <w:rPr>
          <w:rFonts w:ascii="Arial" w:hAnsi="Arial" w:cs="Arial"/>
          <w:sz w:val="20"/>
          <w:szCs w:val="20"/>
          <w:lang w:eastAsia="cs-CZ"/>
        </w:rPr>
      </w:pPr>
    </w:p>
    <w:p w:rsidR="00752BB0" w:rsidRPr="00A870A1" w:rsidRDefault="00752BB0" w:rsidP="00752BB0">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rsidR="00752BB0" w:rsidRPr="00A870A1" w:rsidRDefault="00752BB0" w:rsidP="00752BB0">
      <w:pPr>
        <w:widowControl w:val="0"/>
        <w:spacing w:after="0" w:line="240" w:lineRule="auto"/>
        <w:rPr>
          <w:rFonts w:ascii="Arial" w:hAnsi="Arial" w:cs="Arial"/>
          <w:sz w:val="20"/>
          <w:szCs w:val="20"/>
        </w:rPr>
      </w:pPr>
    </w:p>
    <w:p w:rsidR="00752BB0" w:rsidRDefault="00752BB0" w:rsidP="00752BB0">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rsidR="00752BB0" w:rsidRPr="00A870A1" w:rsidRDefault="00752BB0" w:rsidP="00752BB0">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752BB0" w:rsidRPr="00A870A1" w:rsidRDefault="00752BB0" w:rsidP="00752BB0">
      <w:pPr>
        <w:pStyle w:val="Bezmezer"/>
        <w:widowControl w:val="0"/>
        <w:tabs>
          <w:tab w:val="center" w:pos="1985"/>
          <w:tab w:val="center" w:pos="7371"/>
        </w:tabs>
        <w:rPr>
          <w:rFonts w:ascii="Arial" w:hAnsi="Arial" w:cs="Arial"/>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Default="00752BB0" w:rsidP="00752BB0">
      <w:pPr>
        <w:widowControl w:val="0"/>
        <w:spacing w:after="0" w:line="240" w:lineRule="auto"/>
      </w:pPr>
    </w:p>
    <w:p w:rsidR="00A75AB9" w:rsidRDefault="00A75AB9" w:rsidP="00752BB0">
      <w:pPr>
        <w:widowControl w:val="0"/>
        <w:spacing w:before="120" w:after="120" w:line="240" w:lineRule="auto"/>
        <w:jc w:val="right"/>
      </w:pPr>
    </w:p>
    <w:sectPr w:rsidR="00A75AB9" w:rsidSect="00752BB0">
      <w:headerReference w:type="even" r:id="rId10"/>
      <w:headerReference w:type="default" r:id="rId11"/>
      <w:footerReference w:type="even" r:id="rId12"/>
      <w:footerReference w:type="default" r:id="rId13"/>
      <w:headerReference w:type="first" r:id="rId14"/>
      <w:footerReference w:type="first" r:id="rId15"/>
      <w:pgSz w:w="11906" w:h="16838"/>
      <w:pgMar w:top="1701" w:right="1417" w:bottom="993" w:left="1417" w:header="142" w:footer="9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BAE" w:rsidRDefault="00230B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30BA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30BAE">
      <w:rPr>
        <w:rFonts w:ascii="Arial" w:hAnsi="Arial" w:cs="Arial"/>
        <w:noProof/>
        <w:sz w:val="16"/>
        <w:szCs w:val="16"/>
      </w:rPr>
      <w:t>7</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BAE" w:rsidRDefault="00230B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BAE" w:rsidRDefault="00230B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rsidTr="00B75718">
      <w:trPr>
        <w:trHeight w:val="91"/>
      </w:trPr>
      <w:tc>
        <w:tcPr>
          <w:tcW w:w="4534" w:type="dxa"/>
        </w:tcPr>
        <w:p w:rsidR="00B75718" w:rsidRPr="00B75718" w:rsidRDefault="00794EE5" w:rsidP="006E11F6">
          <w:pPr>
            <w:rPr>
              <w:rFonts w:ascii="Arial" w:hAnsi="Arial" w:cs="Arial"/>
              <w:b/>
              <w:sz w:val="16"/>
              <w:szCs w:val="16"/>
            </w:rPr>
          </w:pPr>
          <w:r w:rsidRPr="00794EE5">
            <w:rPr>
              <w:rFonts w:ascii="Arial" w:hAnsi="Arial" w:cs="Arial"/>
              <w:b/>
              <w:sz w:val="16"/>
              <w:szCs w:val="16"/>
            </w:rPr>
            <w:t>II/112 Košetice - Pelhřimov</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00230BAE">
            <w:rPr>
              <w:rFonts w:ascii="Arial" w:hAnsi="Arial" w:cs="Arial"/>
              <w:b/>
              <w:sz w:val="16"/>
              <w:szCs w:val="16"/>
            </w:rPr>
            <w:t xml:space="preserve"> </w:t>
          </w:r>
          <w:r w:rsidR="00230BAE" w:rsidRPr="00230BAE">
            <w:rPr>
              <w:rFonts w:ascii="Arial" w:hAnsi="Arial" w:cs="Arial"/>
              <w:b/>
              <w:sz w:val="16"/>
              <w:szCs w:val="16"/>
            </w:rPr>
            <w:t>P-ST-08-2025</w:t>
          </w:r>
          <w:bookmarkStart w:id="2" w:name="_GoBack"/>
          <w:bookmarkEnd w:id="2"/>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BAE" w:rsidRDefault="00230B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64CF4"/>
    <w:rsid w:val="000743E1"/>
    <w:rsid w:val="000E75D5"/>
    <w:rsid w:val="001426DA"/>
    <w:rsid w:val="00165B60"/>
    <w:rsid w:val="00192BB2"/>
    <w:rsid w:val="001C7220"/>
    <w:rsid w:val="001E52B0"/>
    <w:rsid w:val="001F51BD"/>
    <w:rsid w:val="00212951"/>
    <w:rsid w:val="00230BAE"/>
    <w:rsid w:val="00242172"/>
    <w:rsid w:val="00243355"/>
    <w:rsid w:val="002707CD"/>
    <w:rsid w:val="002B4502"/>
    <w:rsid w:val="003143D5"/>
    <w:rsid w:val="00322F04"/>
    <w:rsid w:val="00350106"/>
    <w:rsid w:val="00352E21"/>
    <w:rsid w:val="003B7F2B"/>
    <w:rsid w:val="003C1001"/>
    <w:rsid w:val="003D1036"/>
    <w:rsid w:val="00412433"/>
    <w:rsid w:val="004350D7"/>
    <w:rsid w:val="0045322E"/>
    <w:rsid w:val="00475489"/>
    <w:rsid w:val="004A07C6"/>
    <w:rsid w:val="0050004C"/>
    <w:rsid w:val="00537AD4"/>
    <w:rsid w:val="00555069"/>
    <w:rsid w:val="005A5243"/>
    <w:rsid w:val="005A695F"/>
    <w:rsid w:val="005D11A4"/>
    <w:rsid w:val="0060011A"/>
    <w:rsid w:val="00603303"/>
    <w:rsid w:val="00613421"/>
    <w:rsid w:val="006157B7"/>
    <w:rsid w:val="006175DF"/>
    <w:rsid w:val="006C4204"/>
    <w:rsid w:val="006E11F6"/>
    <w:rsid w:val="0071549D"/>
    <w:rsid w:val="007155E4"/>
    <w:rsid w:val="00752BB0"/>
    <w:rsid w:val="00791A63"/>
    <w:rsid w:val="00794EE5"/>
    <w:rsid w:val="00815618"/>
    <w:rsid w:val="00816A6C"/>
    <w:rsid w:val="0083136F"/>
    <w:rsid w:val="0085394E"/>
    <w:rsid w:val="008A49DD"/>
    <w:rsid w:val="008B07A7"/>
    <w:rsid w:val="008F0950"/>
    <w:rsid w:val="008F2FA1"/>
    <w:rsid w:val="009014AB"/>
    <w:rsid w:val="009074AC"/>
    <w:rsid w:val="00933BF8"/>
    <w:rsid w:val="00947B2D"/>
    <w:rsid w:val="00953387"/>
    <w:rsid w:val="009543E1"/>
    <w:rsid w:val="009C387D"/>
    <w:rsid w:val="00A23E09"/>
    <w:rsid w:val="00A51370"/>
    <w:rsid w:val="00A62DD0"/>
    <w:rsid w:val="00A75AB9"/>
    <w:rsid w:val="00A9796B"/>
    <w:rsid w:val="00AA5A23"/>
    <w:rsid w:val="00AC64FA"/>
    <w:rsid w:val="00B15294"/>
    <w:rsid w:val="00B244A1"/>
    <w:rsid w:val="00B652F5"/>
    <w:rsid w:val="00B75718"/>
    <w:rsid w:val="00B83B48"/>
    <w:rsid w:val="00BA0EA9"/>
    <w:rsid w:val="00BE456F"/>
    <w:rsid w:val="00C13496"/>
    <w:rsid w:val="00C80317"/>
    <w:rsid w:val="00C81351"/>
    <w:rsid w:val="00C95325"/>
    <w:rsid w:val="00CC7199"/>
    <w:rsid w:val="00CE44A1"/>
    <w:rsid w:val="00CF7148"/>
    <w:rsid w:val="00D21A35"/>
    <w:rsid w:val="00D46230"/>
    <w:rsid w:val="00D81616"/>
    <w:rsid w:val="00DB3FA7"/>
    <w:rsid w:val="00DC133D"/>
    <w:rsid w:val="00E0028D"/>
    <w:rsid w:val="00E0602B"/>
    <w:rsid w:val="00E30D37"/>
    <w:rsid w:val="00E53B52"/>
    <w:rsid w:val="00E774FF"/>
    <w:rsid w:val="00E97E6E"/>
    <w:rsid w:val="00EB2649"/>
    <w:rsid w:val="00FA26B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0B18F75"/>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DA5A4-FEE3-4673-BDA7-E19997B54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7</Pages>
  <Words>2827</Words>
  <Characters>16680</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80</cp:revision>
  <dcterms:created xsi:type="dcterms:W3CDTF">2022-10-25T21:48:00Z</dcterms:created>
  <dcterms:modified xsi:type="dcterms:W3CDTF">2025-02-27T07:28:00Z</dcterms:modified>
</cp:coreProperties>
</file>